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</w:pPr>
      <w:bookmarkStart w:colFirst="0" w:colLast="0" w:name="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Monthly Treatment Completeness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18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__— __ __ 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1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895"/>
        <w:gridCol w:w="990"/>
        <w:gridCol w:w="2145"/>
        <w:gridCol w:w="885"/>
        <w:gridCol w:w="2100"/>
        <w:tblGridChange w:id="0">
          <w:tblGrid>
            <w:gridCol w:w="2895"/>
            <w:gridCol w:w="990"/>
            <w:gridCol w:w="2145"/>
            <w:gridCol w:w="885"/>
            <w:gridCol w:w="2100"/>
          </w:tblGrid>
        </w:tblGridChange>
      </w:tblGrid>
      <w:tr>
        <w:trPr>
          <w:trHeight w:val="7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Treatment period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Month: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Year: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55"/>
        <w:gridCol w:w="5745"/>
        <w:tblGridChange w:id="0">
          <w:tblGrid>
            <w:gridCol w:w="3255"/>
            <w:gridCol w:w="574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Treatment delivery method (most applicable this month)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DOT inpatient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DOT outpatient facility-based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DOT outpatient community-based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Self Administered Treatment (SAT)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Combination SAT and DOT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Other: 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026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06"/>
        <w:gridCol w:w="1805"/>
        <w:gridCol w:w="1805"/>
        <w:gridCol w:w="1805"/>
        <w:gridCol w:w="1805"/>
        <w:tblGridChange w:id="0">
          <w:tblGrid>
            <w:gridCol w:w="1806"/>
            <w:gridCol w:w="1805"/>
            <w:gridCol w:w="1805"/>
            <w:gridCol w:w="1805"/>
            <w:gridCol w:w="1805"/>
          </w:tblGrid>
        </w:tblGridChange>
      </w:tblGrid>
      <w:tr>
        <w:trPr>
          <w:trHeight w:val="500" w:hRule="atLeast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2"/>
                <w:szCs w:val="22"/>
                <w:rtl w:val="0"/>
              </w:rPr>
              <w:t xml:space="preserve">Ideal total treatment days in the month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2"/>
                <w:szCs w:val="22"/>
                <w:rtl w:val="0"/>
              </w:rPr>
              <w:t xml:space="preserve">Non-prescribed days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2"/>
                <w:szCs w:val="22"/>
                <w:rtl w:val="0"/>
              </w:rPr>
              <w:t xml:space="preserve">Prescribed days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2"/>
                <w:szCs w:val="22"/>
                <w:rtl w:val="0"/>
              </w:rPr>
              <w:t xml:space="preserve">P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rincipal reason for not having 100% completeness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360" w:hRule="atLeast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2"/>
                <w:szCs w:val="22"/>
                <w:rtl w:val="0"/>
              </w:rPr>
              <w:t xml:space="preserve">Missed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2"/>
                <w:szCs w:val="22"/>
                <w:rtl w:val="0"/>
              </w:rPr>
              <w:t xml:space="preserve">Incomplete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80" w:hRule="atLeast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rtl w:val="0"/>
        </w:rPr>
        <w:t xml:space="preserve">*Main reasons for treatment for </w:t>
      </w:r>
      <w:r w:rsidDel="00000000" w:rsidR="00000000" w:rsidRPr="00000000">
        <w:rPr>
          <w:sz w:val="20"/>
          <w:szCs w:val="20"/>
          <w:rtl w:val="0"/>
        </w:rPr>
        <w:t xml:space="preserve">less than 100% completeness</w:t>
      </w: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rtl w:val="0"/>
        </w:rPr>
        <w:t xml:space="preserve"> (select only one):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rFonts w:ascii="Arial" w:cs="Arial" w:eastAsia="Arial" w:hAnsi="Arial"/>
          <w:b w:val="0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rtl w:val="0"/>
        </w:rPr>
        <w:t xml:space="preserve">Program related (e.g. drug shortage, staff absent, other program related)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rFonts w:ascii="Arial" w:cs="Arial" w:eastAsia="Arial" w:hAnsi="Arial"/>
          <w:b w:val="0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rtl w:val="0"/>
        </w:rPr>
        <w:t xml:space="preserve">Medical or treatment related (e.g. adverse event, comorbidity, severe condition of patient, other medical or treatment related)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rFonts w:ascii="Arial" w:cs="Arial" w:eastAsia="Arial" w:hAnsi="Arial"/>
          <w:b w:val="0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0"/>
          <w:szCs w:val="20"/>
          <w:rtl w:val="0"/>
        </w:rPr>
        <w:t xml:space="preserve">Patient related (e.g. family problem, social problem, financial problem, related to work, substance abuse, other patient related)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after="0" w:before="0" w:line="240" w:lineRule="auto"/>
        <w:ind w:left="720" w:hanging="360"/>
        <w:contextualSpacing w:val="1"/>
        <w:rPr>
          <w:rFonts w:ascii="Arial" w:cs="Arial" w:eastAsia="Arial" w:hAnsi="Arial"/>
          <w:b w:val="0"/>
          <w:color w:val="000000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  <w:rtl w:val="0"/>
        </w:rPr>
        <w:t xml:space="preserve">Other (give reasons below)</w:t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b w:val="1"/>
          <w:sz w:val="22"/>
          <w:szCs w:val="22"/>
          <w:rtl w:val="0"/>
        </w:rPr>
        <w:t xml:space="preserve">Additional details about principal reason for less than 100% completeness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2"/>
          <w:szCs w:val="22"/>
          <w:rtl w:val="0"/>
        </w:rPr>
        <w:t xml:space="preserve">:</w:t>
      </w:r>
      <w:r w:rsidDel="00000000" w:rsidR="00000000" w:rsidRPr="00000000">
        <w:rPr>
          <w:rtl w:val="0"/>
        </w:rPr>
      </w:r>
    </w:p>
    <w:tbl>
      <w:tblPr>
        <w:tblStyle w:val="Table5"/>
        <w:bidi w:val="0"/>
        <w:tblW w:w="9026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6"/>
        <w:tblGridChange w:id="0">
          <w:tblGrid>
            <w:gridCol w:w="9026"/>
          </w:tblGrid>
        </w:tblGridChange>
      </w:tblGrid>
      <w:tr>
        <w:trPr>
          <w:trHeight w:val="2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2"/>
          <w:szCs w:val="22"/>
          <w:rtl w:val="0"/>
        </w:rPr>
        <w:t xml:space="preserve">Additional contributing reasons for less than 100% completeness:</w:t>
      </w:r>
      <w:r w:rsidDel="00000000" w:rsidR="00000000" w:rsidRPr="00000000">
        <w:rPr>
          <w:rtl w:val="0"/>
        </w:rPr>
      </w:r>
    </w:p>
    <w:tbl>
      <w:tblPr>
        <w:tblStyle w:val="Table6"/>
        <w:bidi w:val="0"/>
        <w:tblW w:w="902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0"/>
        <w:tblGridChange w:id="0">
          <w:tblGrid>
            <w:gridCol w:w="9020"/>
          </w:tblGrid>
        </w:tblGridChange>
      </w:tblGrid>
      <w:tr>
        <w:trPr>
          <w:trHeight w:val="20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DOT rate per drug (optional)</w:t>
      </w:r>
      <w:r w:rsidDel="00000000" w:rsidR="00000000" w:rsidRPr="00000000">
        <w:rPr>
          <w:rtl w:val="0"/>
        </w:rPr>
      </w:r>
    </w:p>
    <w:tbl>
      <w:tblPr>
        <w:tblStyle w:val="Table7"/>
        <w:bidi w:val="0"/>
        <w:tblW w:w="912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05"/>
        <w:gridCol w:w="1620"/>
        <w:gridCol w:w="1665"/>
        <w:gridCol w:w="1650"/>
        <w:gridCol w:w="1680"/>
        <w:tblGridChange w:id="0">
          <w:tblGrid>
            <w:gridCol w:w="2505"/>
            <w:gridCol w:w="1620"/>
            <w:gridCol w:w="1665"/>
            <w:gridCol w:w="1650"/>
            <w:gridCol w:w="168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2"/>
                <w:szCs w:val="22"/>
                <w:rtl w:val="0"/>
              </w:rPr>
              <w:t xml:space="preserve">Anti-TB drug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Prescribed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f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0"/>
                <w:szCs w:val="20"/>
                <w:rtl w:val="0"/>
              </w:rPr>
              <w:t xml:space="preserve">(days or doses)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Missed prescribed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g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(days or doses)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1"/>
                <w:sz w:val="22"/>
                <w:szCs w:val="22"/>
                <w:rtl w:val="0"/>
              </w:rPr>
              <w:t xml:space="preserve">Observed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</w:t>
            </w: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h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) (days or doses)</w:t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DOT rate observed/ prescribed %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 = h/f x 100 or </w:t>
            </w:r>
          </w:p>
          <w:p w:rsidR="00000000" w:rsidDel="00000000" w:rsidP="00000000" w:rsidRDefault="00000000" w:rsidRPr="00000000">
            <w:pPr>
              <w:widowControl w:val="0"/>
              <w:contextualSpacing w:val="0"/>
              <w:jc w:val="center"/>
            </w:pPr>
            <w:r w:rsidDel="00000000" w:rsidR="00000000" w:rsidRPr="00000000">
              <w:rPr>
                <w:i w:val="1"/>
                <w:sz w:val="20"/>
                <w:szCs w:val="20"/>
                <w:rtl w:val="0"/>
              </w:rPr>
              <w:t xml:space="preserve">i = (f-g)/f x 100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bookmarkStart w:colFirst="0" w:colLast="0" w:name="h.gjdgxs" w:id="0"/>
      <w:bookmarkEnd w:id="0"/>
      <w:r w:rsidDel="00000000" w:rsidR="00000000" w:rsidRPr="00000000">
        <w:rPr>
          <w:rtl w:val="0"/>
        </w:rPr>
      </w:r>
    </w:p>
    <w:tbl>
      <w:tblPr>
        <w:tblStyle w:val="Table8"/>
        <w:bidi w:val="0"/>
        <w:tblW w:w="902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0"/>
        <w:tblGridChange w:id="0">
          <w:tblGrid>
            <w:gridCol w:w="9020"/>
          </w:tblGrid>
        </w:tblGridChange>
      </w:tblGrid>
      <w:tr>
        <w:trPr>
          <w:trHeight w:val="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Form filled by: _______________________  Date: __ __ /__ __ __ /__ __ __ __ </w:t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Form entered by: ____________________   Date: __ __ /__ __ __ /__ __ __ __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360"/>
      </w:tabs>
      <w:spacing w:after="72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Monthly treatment completeness</w:t>
    </w:r>
    <w:r w:rsidDel="00000000" w:rsidR="00000000" w:rsidRPr="00000000">
      <w:rPr>
        <w:i w:val="1"/>
        <w:color w:val="808080"/>
        <w:sz w:val="18"/>
        <w:szCs w:val="18"/>
        <w:rtl w:val="0"/>
      </w:rPr>
      <w:tab/>
    </w: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